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536" w:hanging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  <w:szCs w:val="24"/>
          <w:lang w:val="kk-KZ" w:eastAsia="ko-KR"/>
        </w:rPr>
        <w:t>«</w:t>
      </w:r>
      <w:bookmarkStart w:id="0" w:name="__DdeLink__27851_1326848450"/>
      <w:r>
        <w:rPr>
          <w:rFonts w:ascii="Times New Roman" w:hAnsi="Times New Roman"/>
          <w:b/>
          <w:sz w:val="24"/>
          <w:szCs w:val="24"/>
          <w:lang w:val="kk-KZ" w:eastAsia="ko-KR"/>
        </w:rPr>
        <w:t>Гравитациялық толқындарды зерттеу техникасы</w:t>
      </w:r>
      <w:bookmarkEnd w:id="0"/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val="kk-KZ" w:eastAsia="ko-KR"/>
        </w:rPr>
        <w:t>пәнінен емтихан бағдарламасы</w:t>
      </w:r>
    </w:p>
    <w:p>
      <w:pPr>
        <w:pStyle w:val="Normal"/>
        <w:jc w:val="center"/>
        <w:rPr>
          <w:rFonts w:ascii="Times New Roman" w:hAnsi="Times New Roman"/>
          <w:sz w:val="24"/>
          <w:lang w:val="kk-KZ" w:eastAsia="ko-KR"/>
        </w:rPr>
      </w:pPr>
      <w:r>
        <w:rPr>
          <w:rFonts w:ascii="Times New Roman" w:hAnsi="Times New Roman"/>
          <w:sz w:val="24"/>
          <w:lang w:val="kk-KZ" w:eastAsia="ko-KR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 w:val="false"/>
          <w:bCs w:val="false"/>
          <w:sz w:val="24"/>
          <w:lang w:val="kk-KZ" w:eastAsia="ko-KR"/>
        </w:rPr>
        <w:t>ЖАЗБАША ОФЛАЙН ЕМТИХАН:</w:t>
      </w:r>
    </w:p>
    <w:p>
      <w:pPr>
        <w:pStyle w:val="Normal"/>
        <w:jc w:val="center"/>
        <w:rPr/>
      </w:pPr>
      <w:r>
        <w:rPr>
          <w:rFonts w:ascii="Times New Roman" w:hAnsi="Times New Roman"/>
          <w:b w:val="false"/>
          <w:bCs w:val="false"/>
          <w:sz w:val="24"/>
          <w:lang w:val="kk-KZ" w:eastAsia="ko-KR"/>
        </w:rPr>
        <w:t>ТҮРІ: ДӘСТҮРЛІ – СҰРАҚТАРҒА ЖАУАП БЕРУ</w:t>
      </w:r>
    </w:p>
    <w:p>
      <w:pPr>
        <w:pStyle w:val="Normal"/>
        <w:ind w:left="567" w:hanging="0"/>
        <w:jc w:val="center"/>
        <w:rPr>
          <w:rFonts w:ascii="Times New Roman" w:hAnsi="Times New Roman" w:cs="Times Kaz;Arial"/>
          <w:b/>
          <w:b/>
          <w:sz w:val="24"/>
          <w:lang w:val="kk-KZ" w:eastAsia="ko-KR"/>
        </w:rPr>
      </w:pPr>
      <w:r>
        <w:rPr>
          <w:rFonts w:cs="Times Kaz;Arial" w:ascii="Times New Roman" w:hAnsi="Times New Roman"/>
          <w:b/>
          <w:sz w:val="24"/>
          <w:lang w:val="kk-KZ" w:eastAsia="ko-KR"/>
        </w:rPr>
      </w:r>
    </w:p>
    <w:p>
      <w:pPr>
        <w:pStyle w:val="Normal"/>
        <w:ind w:left="0" w:right="0" w:firstLine="624"/>
        <w:jc w:val="both"/>
        <w:rPr/>
      </w:pP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  <w:t>Ол ИС Univer сыртқы ресурсында жүргізіледі. Емтихан форматы стандартты.</w:t>
      </w:r>
    </w:p>
    <w:p>
      <w:pPr>
        <w:pStyle w:val="Normal"/>
        <w:ind w:left="0" w:right="0" w:firstLine="624"/>
        <w:jc w:val="both"/>
        <w:rPr>
          <w:rFonts w:ascii="Times New Roman" w:hAnsi="Times New Roman" w:cs="Times Kaz;Arial"/>
          <w:b w:val="false"/>
          <w:b w:val="false"/>
          <w:bCs w:val="false"/>
          <w:sz w:val="24"/>
          <w:lang w:val="kk-KZ" w:eastAsia="ko-KR"/>
        </w:rPr>
      </w:pP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</w:r>
    </w:p>
    <w:p>
      <w:pPr>
        <w:pStyle w:val="Normal"/>
        <w:ind w:left="0" w:right="0" w:firstLine="624"/>
        <w:jc w:val="both"/>
        <w:rPr/>
      </w:pP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  <w:t>Студенттің жазбаша емтиханды тапсыру процесі студент үшін емтихан билетін автоматты түрде жасауды қамтиды, оған жазбаша жауапты қалыптастыру қажет.</w:t>
      </w:r>
    </w:p>
    <w:p>
      <w:pPr>
        <w:pStyle w:val="Normal"/>
        <w:ind w:left="0" w:right="0" w:firstLine="624"/>
        <w:jc w:val="both"/>
        <w:rPr>
          <w:rFonts w:ascii="Times New Roman" w:hAnsi="Times New Roman" w:cs="Times Kaz;Arial"/>
          <w:b w:val="false"/>
          <w:b w:val="false"/>
          <w:bCs w:val="false"/>
          <w:sz w:val="24"/>
          <w:lang w:val="kk-KZ" w:eastAsia="ko-KR"/>
        </w:rPr>
      </w:pP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</w:r>
    </w:p>
    <w:p>
      <w:pPr>
        <w:pStyle w:val="Normal"/>
        <w:ind w:left="0" w:right="0" w:firstLine="624"/>
        <w:jc w:val="center"/>
        <w:rPr/>
      </w:pPr>
      <w:r>
        <w:rPr>
          <w:rFonts w:cs="Times Kaz;Arial" w:ascii="Times New Roman" w:hAnsi="Times New Roman"/>
          <w:b/>
          <w:bCs/>
          <w:sz w:val="24"/>
          <w:lang w:val="kk-KZ" w:eastAsia="ko-KR"/>
        </w:rPr>
        <w:t>ЕМТИХАН ТӘРТІБІ</w:t>
      </w:r>
    </w:p>
    <w:p>
      <w:pPr>
        <w:pStyle w:val="Normal"/>
        <w:ind w:left="0" w:right="0" w:firstLine="624"/>
        <w:jc w:val="both"/>
        <w:rPr>
          <w:rFonts w:ascii="Times New Roman" w:hAnsi="Times New Roman" w:cs="Times Kaz;Arial"/>
          <w:b w:val="false"/>
          <w:b w:val="false"/>
          <w:bCs w:val="false"/>
          <w:sz w:val="24"/>
          <w:lang w:val="kk-KZ" w:eastAsia="ko-KR"/>
        </w:rPr>
      </w:pP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</w:r>
    </w:p>
    <w:p>
      <w:pPr>
        <w:pStyle w:val="Normal"/>
        <w:ind w:left="0" w:right="0" w:firstLine="624"/>
        <w:jc w:val="both"/>
        <w:rPr/>
      </w:pPr>
      <w:r>
        <w:rPr>
          <w:rFonts w:cs="Times Kaz;Arial" w:ascii="Times New Roman" w:hAnsi="Times New Roman"/>
          <w:b/>
          <w:bCs/>
          <w:sz w:val="24"/>
          <w:lang w:val="kk-KZ" w:eastAsia="ko-KR"/>
        </w:rPr>
        <w:t>МАҢЫЗДЫ</w:t>
      </w: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  <w:t xml:space="preserve"> - емтихан алдын-ала белгілі болуы керек кесте бойынша өткізіледі.</w:t>
      </w:r>
    </w:p>
    <w:p>
      <w:pPr>
        <w:pStyle w:val="Normal"/>
        <w:ind w:left="0" w:right="0" w:firstLine="624"/>
        <w:jc w:val="both"/>
        <w:rPr>
          <w:rFonts w:ascii="Times New Roman" w:hAnsi="Times New Roman" w:cs="Times Kaz;Arial"/>
          <w:b w:val="false"/>
          <w:b w:val="false"/>
          <w:bCs w:val="false"/>
          <w:sz w:val="24"/>
          <w:lang w:val="kk-KZ" w:eastAsia="ko-KR"/>
        </w:rPr>
      </w:pP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</w:r>
    </w:p>
    <w:p>
      <w:pPr>
        <w:pStyle w:val="Normal"/>
        <w:ind w:left="0" w:right="0" w:firstLine="624"/>
        <w:jc w:val="both"/>
        <w:rPr/>
      </w:pPr>
      <w:r>
        <w:rPr/>
        <w:drawing>
          <wp:inline distT="0" distB="0" distL="0" distR="0">
            <wp:extent cx="5631180" cy="30422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8" r="-9" b="5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0" w:right="0" w:firstLine="624"/>
        <w:jc w:val="both"/>
        <w:rPr/>
      </w:pPr>
      <w:r>
        <w:rPr/>
        <w:drawing>
          <wp:inline distT="0" distB="0" distL="0" distR="0">
            <wp:extent cx="5631180" cy="208915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" t="67843" r="-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0" w:right="0" w:firstLine="624"/>
        <w:jc w:val="both"/>
        <w:rPr>
          <w:rFonts w:ascii="Times New Roman" w:hAnsi="Times New Roman" w:cs="Times Kaz;Arial"/>
          <w:b w:val="false"/>
          <w:b w:val="false"/>
          <w:bCs w:val="false"/>
          <w:sz w:val="24"/>
          <w:lang w:val="kk-KZ" w:eastAsia="ko-KR"/>
        </w:rPr>
      </w:pPr>
      <w:r>
        <w:rPr>
          <w:rFonts w:cs="Times Kaz;Arial" w:ascii="Times New Roman" w:hAnsi="Times New Roman"/>
          <w:b w:val="false"/>
          <w:bCs w:val="false"/>
          <w:sz w:val="24"/>
          <w:lang w:val="kk-KZ" w:eastAsia="ko-KR"/>
        </w:rPr>
      </w:r>
      <w:r>
        <w:br w:type="page"/>
      </w:r>
    </w:p>
    <w:p>
      <w:pPr>
        <w:pStyle w:val="Normal"/>
        <w:ind w:left="0" w:right="0" w:firstLine="624"/>
        <w:jc w:val="center"/>
        <w:rPr/>
      </w:pPr>
      <w:r>
        <w:rPr>
          <w:rFonts w:cs="Times Kaz;Arial" w:ascii="Times New Roman" w:hAnsi="Times New Roman"/>
          <w:b/>
          <w:bCs w:val="false"/>
          <w:sz w:val="24"/>
          <w:szCs w:val="24"/>
          <w:lang w:val="kk-KZ" w:eastAsia="ko-KR"/>
        </w:rPr>
        <w:t>Студент емтиханды тапсыру үшін келесі тақырыптарды білу қажет</w:t>
      </w:r>
    </w:p>
    <w:p>
      <w:pPr>
        <w:pStyle w:val="Normal"/>
        <w:ind w:left="0" w:right="0" w:firstLine="624"/>
        <w:jc w:val="center"/>
        <w:rPr>
          <w:rFonts w:ascii="Times New Roman" w:hAnsi="Times New Roman" w:cs="Times Kaz;Arial"/>
          <w:b w:val="false"/>
          <w:b w:val="false"/>
          <w:bCs w:val="false"/>
          <w:sz w:val="24"/>
          <w:szCs w:val="24"/>
          <w:lang w:val="kk-KZ" w:eastAsia="ko-KR"/>
        </w:rPr>
      </w:pPr>
      <w:r>
        <w:rPr>
          <w:rFonts w:cs="Times Kaz;Arial" w:ascii="Times New Roman" w:hAnsi="Times New Roman"/>
          <w:b w:val="false"/>
          <w:bCs w:val="false"/>
          <w:sz w:val="24"/>
          <w:szCs w:val="24"/>
          <w:lang w:val="kk-KZ" w:eastAsia="ko-K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Гравитация табиғатын кеңістіктің геометриясымен түсіндіру. Эйнштейннің жалпы салыстырмалық теориясының идеясы. Алыс қашықтықтан гравитациялық толқынның (ГТ) таралуы. Оның әлемнің ұлғаюымен байланысы.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ГТ-ды лазерлік-интерферометрмен бақылау. Hanford, Livingston лабораторияларының кеңістіктік қисаюының 10-21 м дәлдікпен бақылауы (2015 ж, Нобельдік сыйлық).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Кеңістіктің қисаюын (метрикалық тензордың ауытқуын) сипаттайтын ГТТ. Оның автотербеліс үшін бейсызық Ван-дер-Поль теңдеуімен байланысы.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ГТТ-нің фазалық суреті. Оның фракталдық өлшемділігін Хевисайд формуласымен анықтау.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ГТТ максимал скейлинг көрсеткіші. Оның астрофизикалық кталогтардағы мәні. Анизотропты фрактал (ZhF - фрактал).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Галактикалардың координаты мен олардың қашықтығы арасындағы байланыс Хаббл заңы.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Бейсызық фракталдық өлшем (БФӨ) теңдеуі. Оның универсал қолданылу мүмкіндігі.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БФӨ теңдеуін компьютерлік талдау әдісі. Шешімнің Дирак функциясымен байланысы.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Хаббл параметрін БФӨ теңдеуімен байланысы.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Астрофизикалық спектрлік бақылау нәтижелерімен теорияны салыстыру.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Қосарланған жұлдыздар және шуылы бар ГТ сигналдарын информациялық-энтропия әдісімен талдау. Информация, энтропия түсініктері.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Шартты информация, оны энтропиялар айырымы арқылы анықтау. ГТ-бейсызық импульс, оны шарт режимінде пайдалану.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Шартты информацияны энтропиялар айырымы арқылы анықтау алгоритмі. Информация/энтропия қатынасын (IER) пайдаланып ГТ сигналын фильтрлеу.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Калман фильтріне IER көрсеткішін (сипаттамасын) қолдану.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Kaz;Arial" w:ascii="Times New Roman" w:hAnsi="Times New Roman"/>
          <w:b w:val="false"/>
          <w:bCs w:val="false"/>
          <w:color w:val="000000"/>
          <w:sz w:val="24"/>
          <w:szCs w:val="24"/>
          <w:lang w:val="kk-KZ" w:eastAsia="ko-KR"/>
        </w:rPr>
        <w:t>IER-ге негізделген талдауды ГТ детекторларының нәтижелеріне қолдану.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Liberation Serif" w:hAnsi="Liberation Serif"/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>
          <w:rFonts w:cs="Times Kaz;Arial" w:ascii="Times New Roman" w:hAnsi="Times New Roman"/>
          <w:b/>
          <w:bCs w:val="false"/>
          <w:sz w:val="24"/>
          <w:szCs w:val="24"/>
          <w:lang w:val="kk-KZ" w:eastAsia="ko-KR"/>
        </w:rPr>
        <w:t>Әдебиет және ресурстар</w:t>
      </w:r>
    </w:p>
    <w:p>
      <w:pPr>
        <w:pStyle w:val="Normal"/>
        <w:jc w:val="center"/>
        <w:rPr>
          <w:rFonts w:ascii="Times New Roman" w:hAnsi="Times New Roman" w:cs="Times Kaz;Arial"/>
          <w:b/>
          <w:b/>
          <w:bCs w:val="false"/>
          <w:sz w:val="24"/>
          <w:szCs w:val="24"/>
          <w:lang w:val="kk-KZ" w:eastAsia="ko-KR"/>
        </w:rPr>
      </w:pPr>
      <w:r>
        <w:rPr>
          <w:rFonts w:cs="Times Kaz;Arial" w:ascii="Times New Roman" w:hAnsi="Times New Roman"/>
          <w:b/>
          <w:bCs w:val="false"/>
          <w:sz w:val="24"/>
          <w:szCs w:val="24"/>
          <w:lang w:val="kk-KZ" w:eastAsia="ko-KR"/>
        </w:rPr>
      </w:r>
    </w:p>
    <w:p>
      <w:pPr>
        <w:pStyle w:val="Normal"/>
        <w:ind w:left="0" w:right="0" w:firstLine="567"/>
        <w:jc w:val="both"/>
        <w:rPr/>
      </w:pPr>
      <w:r>
        <w:rPr>
          <w:rFonts w:cs="Times Kaz;Arial" w:ascii="Times New Roman" w:hAnsi="Times New Roman"/>
          <w:b/>
          <w:bCs w:val="false"/>
          <w:i/>
          <w:iCs/>
          <w:sz w:val="24"/>
          <w:szCs w:val="24"/>
          <w:lang w:val="kk-KZ" w:eastAsia="ko-KR"/>
        </w:rPr>
        <w:t>Негiзгi</w:t>
      </w:r>
      <w:r>
        <w:rPr>
          <w:rFonts w:cs="Times Kaz;Arial" w:ascii="Times New Roman" w:hAnsi="Times New Roman"/>
          <w:b/>
          <w:bCs w:val="false"/>
          <w:sz w:val="24"/>
          <w:szCs w:val="24"/>
          <w:lang w:val="kk-KZ" w:eastAsia="ko-KR"/>
        </w:rPr>
        <w:t xml:space="preserve"> </w:t>
      </w:r>
    </w:p>
    <w:p>
      <w:pPr>
        <w:pStyle w:val="Normal"/>
        <w:ind w:left="0" w:right="0" w:firstLine="567"/>
        <w:jc w:val="both"/>
        <w:rPr>
          <w:rFonts w:ascii="Times New Roman" w:hAnsi="Times New Roman" w:cs="Times Kaz;Arial"/>
          <w:b/>
          <w:b/>
          <w:bCs w:val="false"/>
          <w:sz w:val="24"/>
          <w:szCs w:val="24"/>
          <w:lang w:val="kk-KZ" w:eastAsia="ko-KR"/>
        </w:rPr>
      </w:pPr>
      <w:r>
        <w:rPr>
          <w:rFonts w:cs="Times Kaz;Arial" w:ascii="Times New Roman" w:hAnsi="Times New Roman"/>
          <w:b/>
          <w:bCs w:val="false"/>
          <w:sz w:val="24"/>
          <w:szCs w:val="24"/>
          <w:lang w:val="kk-KZ" w:eastAsia="ko-KR"/>
        </w:rPr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</w:rPr>
        <w:t>1</w:t>
        <w:tab/>
        <w:t xml:space="preserve">Zhanabaev ZZ, Karibayev BA, Imanbayeva AK, Namazbayev TA, Akhtanov SN. </w:t>
      </w:r>
      <w:r>
        <w:rPr>
          <w:sz w:val="20"/>
          <w:szCs w:val="20"/>
          <w:lang w:val="en-US"/>
        </w:rPr>
        <w:t>Electrodynamic characteristics of wire dipole antennas based on fractal curves // J Eng Sci Technol 2019; 14; 305-20.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2</w:t>
        <w:tab/>
        <w:t>Nursultan Meirambekuly, Temirbayev AA, Zhanabaev ZZ, Karibayev BA, Namazbayev TA, Khaniyev BA, Khaniyeva AK. Dual-Band optical imaging system-integrated patch antenna based on anisotropic fractal for earth-observation CubeSats // Ain Shams engineering Journal 2021.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3</w:t>
        <w:tab/>
        <w:t xml:space="preserve">Riess A. G. et al. A 2.4% determination of the local value of the Hubble constant //The Astrophysical Journal. – 2016. – 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826. – №. 1.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 xml:space="preserve">. 56. 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4</w:t>
        <w:tab/>
        <w:t xml:space="preserve">Ade P. A. R. et al. Planck 2013 results. XVI. Cosmological parameters //Astronomy &amp; Astrophysics. – 2014.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571.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A16.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5</w:t>
        <w:tab/>
        <w:t xml:space="preserve">Kuo C. Y. et al. The megamaser cosmology project. V. An angular-diameter distance to NGC 6264 at 140 Mpc //The Astrophysical Journal. – 2013.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767. – №. 2.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155.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6</w:t>
        <w:tab/>
        <w:t>Zhanabaev Z. Z., Ussipov N. M., Khokhlov S. A. Scale-invariant and wave nature of the Hubble parameter //Eurasian Physical Technical Journal. – 2021. – Т. 18. – №. 2 (36). – С. 81-89.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7</w:t>
        <w:tab/>
        <w:t>Miroshnichenko, A. S., Bisyarina A. P. et al. Variability of emission lines in the optical spectra of the Herbig Be binary system HD 200775 //Research in Astronomy and Astrophysics. – 2019. – Т. 19. – №. 3. – С. 036.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8</w:t>
        <w:tab/>
        <w:t>Miroshnichenko, A. S., Khokhlov S. A. et al. TOWARD UNDERSTANDING THE B [e] PHENOMENON. VI. NATURE AND SPECTRAL VARIATIONS OF HD 85567∗ //The Astrophysical Journal. – 2017. – Т. 835. – №. 1. – С. 53.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9</w:t>
        <w:tab/>
        <w:t xml:space="preserve">Maeder A., Gueorguiev V. G. Scale-invariant dynamics of galaxies, MOND, dark matter, and the dwarf spheroidals //Monthly Notices of the Royal Astronomical Society. – 2020.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492. – №. 2.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2698-2708.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10</w:t>
        <w:tab/>
        <w:t>Peebles P. J. E. The large-scale structure of the universe. Princeton university press (1980).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11</w:t>
        <w:tab/>
        <w:t xml:space="preserve">L.D Landau, E.M. Lifshitz Field theory. – 1988. 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12</w:t>
        <w:tab/>
        <w:t xml:space="preserve">Zharikov, Sergey V.,Nicolis G., Prigogine I. Exploring complexity an introduction. – 1989.Rosales J. A. et al. Stellar and accretion disk parameters of the close binary HD 50526 //The Astronomical Journal. – 2021. – Т. 162. – №. 2. – С. 66. 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13</w:t>
        <w:tab/>
        <w:t xml:space="preserve">Strong M. D., Crescimanno M. Lagrange point stability for a rotating host mass binary //Physical Review D. – 2020.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102. – №. 2.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024052.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14</w:t>
        <w:tab/>
        <w:t>Zhanabaev Z. Z. Fractal model of turbulence in the jet. Proceedings of the SB Acad.of Sci. USSR. Technical science series 4, 57-60 (1988). in Russian.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15</w:t>
        <w:tab/>
        <w:t xml:space="preserve">Zhanabaev Z. Z. et al. ELECTRODYNAMIC CHARACTERISTICS OF WIRE DIPOLE ANTENNAS BASED ON FRACTAL CURVES //Journal of Engineering Science and Technology. – 2019.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14. – №. 1.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305-320.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16</w:t>
        <w:tab/>
        <w:t>Feder J. Fractals. – Springer Science &amp; Business Media, 2013.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17</w:t>
        <w:tab/>
        <w:t>Chhoa J. F. An Adaptive Approach to Gibbs’ Phenomenon. – 2020.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18</w:t>
        <w:tab/>
        <w:t xml:space="preserve">García-Farieta J. E., Casas-Miranda R. A. Effect of observational holes in fractal analysis of galaxy survey masks //Chaos, Solitons &amp; Fractals. – 2018.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111.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128-137.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19</w:t>
        <w:tab/>
        <w:t>Zharikov, Sergey V., Amantayeva A. et al. Period bouncer cataclysmic variable EZ Lyn in quiescence //The Astrophysical Journal. – 2021. – Т. 918. – №. 2. – С. 58.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20</w:t>
        <w:tab/>
        <w:t xml:space="preserve">Ahumada R. et al. The 16th data release of the Sloan Digital Sky Surveys: first release from the APOGEE-2 Southern Survey and full release of eBOSS Spectra //The Astrophysical Journal Supplement Series. – 2020.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249. – №. 1.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3.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21</w:t>
        <w:tab/>
        <w:t xml:space="preserve">Boller T. et al. Second ROSAT all-sky survey (2RXS) source catalogue //Astronomy &amp; Astrophysics. – 2016.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588.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A103.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sz w:val="20"/>
          <w:szCs w:val="20"/>
          <w:lang w:val="en-US"/>
        </w:rPr>
        <w:t>22</w:t>
        <w:tab/>
        <w:t xml:space="preserve">Freedman W. L. et al. Final results from the Hubble Space Telescope key project to measure the Hubble constant //The Astrophysical Journal. – 2001. – </w:t>
      </w:r>
      <w:r>
        <w:rPr>
          <w:sz w:val="20"/>
          <w:szCs w:val="20"/>
        </w:rPr>
        <w:t>Т</w:t>
      </w:r>
      <w:r>
        <w:rPr>
          <w:sz w:val="20"/>
          <w:szCs w:val="20"/>
          <w:lang w:val="en-US"/>
        </w:rPr>
        <w:t xml:space="preserve">. 553. – №. 1. –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>. 47.</w:t>
      </w:r>
    </w:p>
    <w:p>
      <w:pPr>
        <w:pStyle w:val="Normal"/>
        <w:tabs>
          <w:tab w:val="left" w:pos="286" w:leader="none"/>
        </w:tabs>
        <w:jc w:val="both"/>
        <w:rPr/>
      </w:pPr>
      <w:r>
        <w:rPr>
          <w:rFonts w:cs="Times Kaz;Arial" w:ascii="Times New Roman" w:hAnsi="Times New Roman"/>
          <w:b w:val="false"/>
          <w:bCs w:val="false"/>
          <w:sz w:val="20"/>
          <w:szCs w:val="20"/>
          <w:lang w:val="en-US" w:eastAsia="ko-KR"/>
        </w:rPr>
        <w:t>23</w:t>
        <w:tab/>
        <w:t>Elvis M. et al. Spectral energy distributions of type 1 active galactic nuclei in the COSMOS survey. I. The XMM-COSMOS sample //The Astrophysical Journal. – 2012. – Т. 759. – №. 1. – С. 6.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LibreOffice/6.0.7.3$Linux_X86_64 LibreOffice_project/00m0$Build-3</Application>
  <Pages>3</Pages>
  <Words>852</Words>
  <Characters>5035</Characters>
  <CharactersWithSpaces>5894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2023-02-17T14:00:17Z</dcterms:created>
  <dc:creator/>
  <dc:description/>
  <dc:language>ru-RU</dc:language>
  <cp:lastModifiedBy/>
  <dcterms:modified xsi:type="dcterms:W3CDTF">2023-02-17T14:13:59Z</dcterms:modified>
  <cp:revision>1</cp:revision>
  <dc:subject/>
  <dc:title/>
</cp:coreProperties>
</file>